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DA16" w14:textId="1D048D93" w:rsidR="00EC0334" w:rsidRPr="00EC0334" w:rsidRDefault="00C22983" w:rsidP="00EC0334">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11.</w:t>
      </w:r>
      <w:r w:rsidR="00010558" w:rsidRPr="00010558">
        <w:rPr>
          <w:lang w:val="kk-KZ" w:eastAsia="ar-SA"/>
        </w:rPr>
        <w:t xml:space="preserve"> </w:t>
      </w:r>
      <w:r w:rsidR="00010558" w:rsidRPr="00010558">
        <w:rPr>
          <w:rFonts w:ascii="Times New Roman" w:hAnsi="Times New Roman" w:cs="Times New Roman"/>
          <w:sz w:val="28"/>
          <w:szCs w:val="28"/>
          <w:lang w:val="kk-KZ" w:eastAsia="ar-SA"/>
        </w:rPr>
        <w:t>Бостон консультативтік тобының матрицасы</w:t>
      </w:r>
      <w:r w:rsidR="00EC0334">
        <w:rPr>
          <w:rFonts w:ascii="Times New Roman" w:hAnsi="Times New Roman" w:cs="Times New Roman"/>
          <w:sz w:val="28"/>
          <w:szCs w:val="28"/>
          <w:lang w:val="kk-KZ"/>
        </w:rPr>
        <w:t>С</w:t>
      </w:r>
      <w:r w:rsidR="00EC0334">
        <w:rPr>
          <w:rFonts w:ascii="Times New Roman" w:hAnsi="Times New Roman" w:cs="Times New Roman"/>
          <w:b/>
          <w:bCs/>
          <w:sz w:val="24"/>
          <w:szCs w:val="24"/>
          <w:lang w:val="kk-KZ"/>
        </w:rPr>
        <w:t>сұрақтар:</w:t>
      </w:r>
    </w:p>
    <w:p w14:paraId="661251AF" w14:textId="77777777" w:rsidR="00EC0334" w:rsidRDefault="00EC0334" w:rsidP="00EC0334">
      <w:pPr>
        <w:pStyle w:val="ab"/>
        <w:numPr>
          <w:ilvl w:val="1"/>
          <w:numId w:val="1"/>
        </w:numPr>
        <w:spacing w:line="254" w:lineRule="auto"/>
        <w:rPr>
          <w:rFonts w:ascii="Times New Roman" w:hAnsi="Times New Roman" w:cs="Times New Roman"/>
          <w:b/>
          <w:bCs/>
          <w:sz w:val="24"/>
          <w:szCs w:val="24"/>
          <w:lang w:val="kk-KZ"/>
        </w:rPr>
      </w:pPr>
      <w:r>
        <w:rPr>
          <w:rFonts w:ascii="Times New Roman" w:hAnsi="Times New Roman" w:cs="Times New Roman"/>
          <w:b/>
          <w:bCs/>
          <w:sz w:val="24"/>
          <w:szCs w:val="24"/>
          <w:lang w:val="kk-KZ" w:eastAsia="ar-SA"/>
        </w:rPr>
        <w:t xml:space="preserve"> </w:t>
      </w:r>
      <w:r>
        <w:rPr>
          <w:rFonts w:ascii="Times New Roman" w:hAnsi="Times New Roman" w:cs="Times New Roman"/>
          <w:sz w:val="24"/>
          <w:szCs w:val="24"/>
          <w:lang w:val="kk-KZ"/>
        </w:rPr>
        <w:t xml:space="preserve">Мемлекеттік басқару жүйесінде </w:t>
      </w:r>
      <w:r>
        <w:rPr>
          <w:rFonts w:ascii="Times New Roman" w:hAnsi="Times New Roman" w:cs="Times New Roman"/>
          <w:sz w:val="24"/>
          <w:szCs w:val="24"/>
          <w:lang w:val="kk-KZ" w:eastAsia="ar-SA"/>
        </w:rPr>
        <w:t>Бостон консультативтік тобының матрицасы</w:t>
      </w:r>
      <w:r>
        <w:rPr>
          <w:rFonts w:ascii="Times New Roman" w:hAnsi="Times New Roman" w:cs="Times New Roman"/>
          <w:b/>
          <w:bCs/>
          <w:sz w:val="24"/>
          <w:szCs w:val="24"/>
          <w:lang w:val="kk-KZ" w:eastAsia="ar-SA"/>
        </w:rPr>
        <w:t xml:space="preserve"> </w:t>
      </w:r>
    </w:p>
    <w:p w14:paraId="67D4A2A7" w14:textId="77777777" w:rsidR="00EC0334" w:rsidRDefault="00EC0334" w:rsidP="00EC0334">
      <w:pPr>
        <w:pStyle w:val="ab"/>
        <w:numPr>
          <w:ilvl w:val="1"/>
          <w:numId w:val="1"/>
        </w:numPr>
        <w:spacing w:line="254" w:lineRule="auto"/>
        <w:rPr>
          <w:rFonts w:ascii="Times New Roman" w:hAnsi="Times New Roman" w:cs="Times New Roman"/>
          <w:b/>
          <w:bCs/>
          <w:sz w:val="24"/>
          <w:szCs w:val="24"/>
          <w:lang w:val="kk-KZ"/>
        </w:rPr>
      </w:pPr>
      <w:r>
        <w:rPr>
          <w:rFonts w:ascii="Times New Roman" w:hAnsi="Times New Roman" w:cs="Times New Roman"/>
          <w:sz w:val="24"/>
          <w:szCs w:val="24"/>
          <w:lang w:val="kk-KZ" w:eastAsia="ar-SA"/>
        </w:rPr>
        <w:t>Бостон консультативтік тобының матрицасының ерекшеліктері</w:t>
      </w:r>
      <w:r>
        <w:rPr>
          <w:rFonts w:ascii="Times New Roman" w:hAnsi="Times New Roman" w:cs="Times New Roman"/>
          <w:b/>
          <w:bCs/>
          <w:sz w:val="24"/>
          <w:szCs w:val="24"/>
          <w:lang w:val="kk-KZ" w:eastAsia="ar-SA"/>
        </w:rPr>
        <w:t xml:space="preserve"> </w:t>
      </w:r>
    </w:p>
    <w:p w14:paraId="6370D913" w14:textId="77777777" w:rsidR="00EC0334" w:rsidRDefault="00EC0334" w:rsidP="00EC0334">
      <w:pPr>
        <w:pStyle w:val="ab"/>
        <w:ind w:left="1440"/>
        <w:rPr>
          <w:rFonts w:ascii="Times New Roman" w:hAnsi="Times New Roman" w:cs="Times New Roman"/>
          <w:b/>
          <w:bCs/>
          <w:sz w:val="24"/>
          <w:szCs w:val="24"/>
          <w:lang w:val="kk-KZ"/>
        </w:rPr>
      </w:pPr>
    </w:p>
    <w:p w14:paraId="6E68C94E" w14:textId="77777777" w:rsidR="00EC0334" w:rsidRDefault="00EC0334" w:rsidP="00EC0334">
      <w:pPr>
        <w:rPr>
          <w:rFonts w:ascii="Times New Roman" w:hAnsi="Times New Roman" w:cs="Times New Roman"/>
          <w:b/>
          <w:bCs/>
          <w:sz w:val="24"/>
          <w:szCs w:val="24"/>
          <w:lang w:val="kk-KZ"/>
        </w:rPr>
      </w:pPr>
      <w:r>
        <w:rPr>
          <w:rFonts w:ascii="Times New Roman" w:hAnsi="Times New Roman" w:cs="Times New Roman"/>
          <w:b/>
          <w:bCs/>
          <w:sz w:val="24"/>
          <w:szCs w:val="24"/>
          <w:lang w:val="kk-KZ"/>
        </w:rPr>
        <w:t>Сабақ мақсаты-</w:t>
      </w:r>
      <w:r>
        <w:rPr>
          <w:rFonts w:ascii="Times New Roman" w:hAnsi="Times New Roman" w:cs="Times New Roman"/>
          <w:sz w:val="24"/>
          <w:szCs w:val="24"/>
          <w:lang w:val="kk-KZ"/>
        </w:rPr>
        <w:t xml:space="preserve"> докторанттарға</w:t>
      </w:r>
      <w:r>
        <w:rPr>
          <w:rFonts w:ascii="Times New Roman" w:hAnsi="Times New Roman" w:cs="Times New Roman"/>
          <w:b/>
          <w:bCs/>
          <w:sz w:val="24"/>
          <w:szCs w:val="24"/>
          <w:lang w:val="kk-KZ" w:eastAsia="ar-SA"/>
        </w:rPr>
        <w:t xml:space="preserve"> </w:t>
      </w:r>
      <w:r>
        <w:rPr>
          <w:rFonts w:ascii="Times New Roman" w:hAnsi="Times New Roman" w:cs="Times New Roman"/>
          <w:sz w:val="24"/>
          <w:szCs w:val="24"/>
          <w:lang w:val="kk-KZ" w:eastAsia="ar-SA"/>
        </w:rPr>
        <w:t xml:space="preserve">   Бостон консультативтік тобының матрицасы                      талқылау</w:t>
      </w:r>
    </w:p>
    <w:p w14:paraId="7B44AA21" w14:textId="77777777" w:rsidR="00EC0334" w:rsidRDefault="00EC0334" w:rsidP="00EC0334">
      <w:pPr>
        <w:pStyle w:val="ab"/>
        <w:ind w:left="1440"/>
        <w:rPr>
          <w:rFonts w:ascii="Times New Roman" w:hAnsi="Times New Roman" w:cs="Times New Roman"/>
          <w:b/>
          <w:bCs/>
          <w:sz w:val="24"/>
          <w:szCs w:val="24"/>
          <w:lang w:val="kk-KZ"/>
        </w:rPr>
      </w:pPr>
    </w:p>
    <w:p w14:paraId="6BDC42F1" w14:textId="77777777" w:rsidR="00EC0334" w:rsidRDefault="00EC0334" w:rsidP="00EC0334">
      <w:pPr>
        <w:shd w:val="clear" w:color="auto" w:fill="FFFFFF"/>
        <w:spacing w:after="0" w:line="240" w:lineRule="auto"/>
        <w:rPr>
          <w:rFonts w:ascii="Arial" w:eastAsia="Times New Roman" w:hAnsi="Arial" w:cs="Arial"/>
          <w:color w:val="444444"/>
          <w:lang w:val="kk-KZ" w:eastAsia="ru-RU"/>
        </w:rPr>
      </w:pPr>
      <w:r>
        <w:rPr>
          <w:rFonts w:ascii="Arial" w:eastAsia="Times New Roman" w:hAnsi="Arial" w:cs="Arial"/>
          <w:b/>
          <w:bCs/>
          <w:color w:val="444444"/>
          <w:bdr w:val="none" w:sz="0" w:space="0" w:color="auto" w:frame="1"/>
          <w:lang w:val="kk-KZ" w:eastAsia="ru-RU"/>
        </w:rPr>
        <w:t>Бостонның консалтинг тобының моделі</w:t>
      </w:r>
      <w:r>
        <w:rPr>
          <w:rFonts w:ascii="Arial" w:eastAsia="Times New Roman" w:hAnsi="Arial" w:cs="Arial"/>
          <w:color w:val="444444"/>
          <w:lang w:val="kk-KZ" w:eastAsia="ru-RU"/>
        </w:rPr>
        <w:t> компанияның ресурстарың тиімді басқаруға және компанияның өнімдерің баланстауға арналған әдіс.</w:t>
      </w:r>
    </w:p>
    <w:p w14:paraId="7C00FF40" w14:textId="77777777" w:rsidR="00EC0334" w:rsidRPr="00EC0334" w:rsidRDefault="00EC0334" w:rsidP="00EC0334">
      <w:pPr>
        <w:shd w:val="clear" w:color="auto" w:fill="FFFFFF"/>
        <w:spacing w:after="105" w:line="240" w:lineRule="auto"/>
        <w:rPr>
          <w:rFonts w:ascii="Arial" w:eastAsia="Times New Roman" w:hAnsi="Arial" w:cs="Arial"/>
          <w:color w:val="444444"/>
          <w:lang w:val="kk-KZ" w:eastAsia="ru-RU"/>
        </w:rPr>
      </w:pPr>
      <w:r w:rsidRPr="00EC0334">
        <w:rPr>
          <w:rFonts w:ascii="Arial" w:eastAsia="Times New Roman" w:hAnsi="Arial" w:cs="Arial"/>
          <w:color w:val="444444"/>
          <w:lang w:val="kk-KZ" w:eastAsia="ru-RU"/>
        </w:rPr>
        <w:t>Осы модель ірі компанияның құрамында әртүрлі бағытта жұмыс істейтің бірнеше бөлімшелері бар деп тұжырымдалады. Әрбір бөлімше өз тауарың шығарады.</w:t>
      </w:r>
    </w:p>
    <w:p w14:paraId="4D4D2313" w14:textId="77777777" w:rsidR="00EC0334" w:rsidRPr="00EC0334" w:rsidRDefault="00EC0334" w:rsidP="00EC0334">
      <w:pPr>
        <w:shd w:val="clear" w:color="auto" w:fill="FFFFFF"/>
        <w:spacing w:after="0" w:line="240" w:lineRule="auto"/>
        <w:rPr>
          <w:rFonts w:ascii="Arial" w:eastAsia="Times New Roman" w:hAnsi="Arial" w:cs="Arial"/>
          <w:color w:val="444444"/>
          <w:lang w:val="kk-KZ" w:eastAsia="ru-RU"/>
        </w:rPr>
      </w:pPr>
      <w:r w:rsidRPr="00EC0334">
        <w:rPr>
          <w:rFonts w:ascii="Arial" w:eastAsia="Times New Roman" w:hAnsi="Arial" w:cs="Arial"/>
          <w:color w:val="444444"/>
          <w:lang w:val="kk-KZ" w:eastAsia="ru-RU"/>
        </w:rPr>
        <w:t>Бөлімшенің M</w:t>
      </w:r>
      <w:r w:rsidRPr="00EC0334">
        <w:rPr>
          <w:rFonts w:ascii="Arial" w:eastAsia="Times New Roman" w:hAnsi="Arial" w:cs="Arial"/>
          <w:color w:val="444444"/>
          <w:bdr w:val="none" w:sz="0" w:space="0" w:color="auto" w:frame="1"/>
          <w:vertAlign w:val="subscript"/>
          <w:lang w:val="kk-KZ" w:eastAsia="ru-RU"/>
        </w:rPr>
        <w:t>R1</w:t>
      </w:r>
      <w:r w:rsidRPr="00EC0334">
        <w:rPr>
          <w:rFonts w:ascii="Arial" w:eastAsia="Times New Roman" w:hAnsi="Arial" w:cs="Arial"/>
          <w:color w:val="444444"/>
          <w:lang w:val="kk-KZ" w:eastAsia="ru-RU"/>
        </w:rPr>
        <w:t> салыстырмалы нарықтық үлесі деп, бөлімшенің нарықтық M</w:t>
      </w:r>
      <w:r w:rsidRPr="00EC0334">
        <w:rPr>
          <w:rFonts w:ascii="Arial" w:eastAsia="Times New Roman" w:hAnsi="Arial" w:cs="Arial"/>
          <w:color w:val="444444"/>
          <w:bdr w:val="none" w:sz="0" w:space="0" w:color="auto" w:frame="1"/>
          <w:vertAlign w:val="subscript"/>
          <w:lang w:val="kk-KZ" w:eastAsia="ru-RU"/>
        </w:rPr>
        <w:t>1</w:t>
      </w:r>
      <w:r w:rsidRPr="00EC0334">
        <w:rPr>
          <w:rFonts w:ascii="Arial" w:eastAsia="Times New Roman" w:hAnsi="Arial" w:cs="Arial"/>
          <w:color w:val="444444"/>
          <w:lang w:val="kk-KZ" w:eastAsia="ru-RU"/>
        </w:rPr>
        <w:t> үлесің, осы бөлімшеге бәсекелес басқа компанияның (осы салада ең үлкен үлеске ие бәсекелес компанияның) M</w:t>
      </w:r>
      <w:r w:rsidRPr="00EC0334">
        <w:rPr>
          <w:rFonts w:ascii="Arial" w:eastAsia="Times New Roman" w:hAnsi="Arial" w:cs="Arial"/>
          <w:color w:val="444444"/>
          <w:bdr w:val="none" w:sz="0" w:space="0" w:color="auto" w:frame="1"/>
          <w:vertAlign w:val="subscript"/>
          <w:lang w:val="kk-KZ" w:eastAsia="ru-RU"/>
        </w:rPr>
        <w:t>2</w:t>
      </w:r>
      <w:r w:rsidRPr="00EC0334">
        <w:rPr>
          <w:rFonts w:ascii="Arial" w:eastAsia="Times New Roman" w:hAnsi="Arial" w:cs="Arial"/>
          <w:color w:val="444444"/>
          <w:lang w:val="kk-KZ" w:eastAsia="ru-RU"/>
        </w:rPr>
        <w:t> нарықтық үлесінің бөлімдісіне тең шама:</w:t>
      </w:r>
    </w:p>
    <w:p w14:paraId="23476E3D" w14:textId="77777777" w:rsidR="00EC0334" w:rsidRPr="00EC0334" w:rsidRDefault="00EC0334" w:rsidP="00EC0334">
      <w:pPr>
        <w:shd w:val="clear" w:color="auto" w:fill="FFFFFF"/>
        <w:spacing w:after="0" w:line="240" w:lineRule="auto"/>
        <w:rPr>
          <w:rFonts w:ascii="Arial" w:eastAsia="Times New Roman" w:hAnsi="Arial" w:cs="Arial"/>
          <w:color w:val="444444"/>
          <w:lang w:val="kk-KZ" w:eastAsia="ru-RU"/>
        </w:rPr>
      </w:pPr>
      <w:r w:rsidRPr="00EC0334">
        <w:rPr>
          <w:rFonts w:ascii="Arial" w:eastAsia="Times New Roman" w:hAnsi="Arial" w:cs="Arial"/>
          <w:color w:val="444444"/>
          <w:lang w:val="kk-KZ" w:eastAsia="ru-RU"/>
        </w:rPr>
        <w:t>M</w:t>
      </w:r>
      <w:r w:rsidRPr="00EC0334">
        <w:rPr>
          <w:rFonts w:ascii="Arial" w:eastAsia="Times New Roman" w:hAnsi="Arial" w:cs="Arial"/>
          <w:color w:val="444444"/>
          <w:bdr w:val="none" w:sz="0" w:space="0" w:color="auto" w:frame="1"/>
          <w:vertAlign w:val="subscript"/>
          <w:lang w:val="kk-KZ" w:eastAsia="ru-RU"/>
        </w:rPr>
        <w:t>R1</w:t>
      </w:r>
      <w:r w:rsidRPr="00EC0334">
        <w:rPr>
          <w:rFonts w:ascii="Arial" w:eastAsia="Times New Roman" w:hAnsi="Arial" w:cs="Arial"/>
          <w:color w:val="444444"/>
          <w:lang w:val="kk-KZ" w:eastAsia="ru-RU"/>
        </w:rPr>
        <w:t> = M</w:t>
      </w:r>
      <w:r w:rsidRPr="00EC0334">
        <w:rPr>
          <w:rFonts w:ascii="Arial" w:eastAsia="Times New Roman" w:hAnsi="Arial" w:cs="Arial"/>
          <w:color w:val="444444"/>
          <w:bdr w:val="none" w:sz="0" w:space="0" w:color="auto" w:frame="1"/>
          <w:vertAlign w:val="subscript"/>
          <w:lang w:val="kk-KZ" w:eastAsia="ru-RU"/>
        </w:rPr>
        <w:t>1</w:t>
      </w:r>
      <w:r w:rsidRPr="00EC0334">
        <w:rPr>
          <w:rFonts w:ascii="Arial" w:eastAsia="Times New Roman" w:hAnsi="Arial" w:cs="Arial"/>
          <w:color w:val="444444"/>
          <w:lang w:val="kk-KZ" w:eastAsia="ru-RU"/>
        </w:rPr>
        <w:t>/M</w:t>
      </w:r>
      <w:r w:rsidRPr="00EC0334">
        <w:rPr>
          <w:rFonts w:ascii="Arial" w:eastAsia="Times New Roman" w:hAnsi="Arial" w:cs="Arial"/>
          <w:color w:val="444444"/>
          <w:bdr w:val="none" w:sz="0" w:space="0" w:color="auto" w:frame="1"/>
          <w:vertAlign w:val="subscript"/>
          <w:lang w:val="kk-KZ" w:eastAsia="ru-RU"/>
        </w:rPr>
        <w:t>2</w:t>
      </w:r>
    </w:p>
    <w:p w14:paraId="065CE7F1" w14:textId="77777777" w:rsidR="00EC0334" w:rsidRPr="00EC0334" w:rsidRDefault="00EC0334" w:rsidP="00EC0334">
      <w:pPr>
        <w:shd w:val="clear" w:color="auto" w:fill="FFFFFF"/>
        <w:spacing w:after="0" w:line="240" w:lineRule="auto"/>
        <w:rPr>
          <w:rFonts w:ascii="Arial" w:eastAsia="Times New Roman" w:hAnsi="Arial" w:cs="Arial"/>
          <w:color w:val="444444"/>
          <w:lang w:val="kk-KZ" w:eastAsia="ru-RU"/>
        </w:rPr>
      </w:pPr>
      <w:r w:rsidRPr="00EC0334">
        <w:rPr>
          <w:rFonts w:ascii="Arial" w:eastAsia="Times New Roman" w:hAnsi="Arial" w:cs="Arial"/>
          <w:color w:val="444444"/>
          <w:lang w:val="kk-KZ" w:eastAsia="ru-RU"/>
        </w:rPr>
        <w:t>M</w:t>
      </w:r>
      <w:r w:rsidRPr="00EC0334">
        <w:rPr>
          <w:rFonts w:ascii="Arial" w:eastAsia="Times New Roman" w:hAnsi="Arial" w:cs="Arial"/>
          <w:color w:val="444444"/>
          <w:bdr w:val="none" w:sz="0" w:space="0" w:color="auto" w:frame="1"/>
          <w:vertAlign w:val="subscript"/>
          <w:lang w:val="kk-KZ" w:eastAsia="ru-RU"/>
        </w:rPr>
        <w:t>R1</w:t>
      </w:r>
      <w:r w:rsidRPr="00EC0334">
        <w:rPr>
          <w:rFonts w:ascii="Arial" w:eastAsia="Times New Roman" w:hAnsi="Arial" w:cs="Arial"/>
          <w:color w:val="444444"/>
          <w:lang w:val="kk-KZ" w:eastAsia="ru-RU"/>
        </w:rPr>
        <w:t> &gt; 1 болса, онда компанияның салыстырмалы нарықтық үлесі жоғары, яғни команияның нарықтағы үлесі өзге бәсекелестердің үлестерінең артық болса. Ал M</w:t>
      </w:r>
      <w:r w:rsidRPr="00EC0334">
        <w:rPr>
          <w:rFonts w:ascii="Arial" w:eastAsia="Times New Roman" w:hAnsi="Arial" w:cs="Arial"/>
          <w:color w:val="444444"/>
          <w:bdr w:val="none" w:sz="0" w:space="0" w:color="auto" w:frame="1"/>
          <w:vertAlign w:val="subscript"/>
          <w:lang w:val="kk-KZ" w:eastAsia="ru-RU"/>
        </w:rPr>
        <w:t>R1</w:t>
      </w:r>
      <w:r w:rsidRPr="00EC0334">
        <w:rPr>
          <w:rFonts w:ascii="Arial" w:eastAsia="Times New Roman" w:hAnsi="Arial" w:cs="Arial"/>
          <w:color w:val="444444"/>
          <w:lang w:val="kk-KZ" w:eastAsia="ru-RU"/>
        </w:rPr>
        <w:t> &lt; 1 болса, онда компанияның салыстырмалы нарықтық үлесі төмен деп есептелінеді.</w:t>
      </w:r>
    </w:p>
    <w:p w14:paraId="353AAA7F" w14:textId="77777777" w:rsidR="00EC0334" w:rsidRPr="00EC0334" w:rsidRDefault="00EC0334" w:rsidP="00EC0334">
      <w:pPr>
        <w:shd w:val="clear" w:color="auto" w:fill="FFFFFF"/>
        <w:spacing w:after="105" w:line="240" w:lineRule="auto"/>
        <w:rPr>
          <w:rFonts w:ascii="Arial" w:eastAsia="Times New Roman" w:hAnsi="Arial" w:cs="Arial"/>
          <w:color w:val="444444"/>
          <w:lang w:val="kk-KZ" w:eastAsia="ru-RU"/>
        </w:rPr>
      </w:pPr>
      <w:r w:rsidRPr="00EC0334">
        <w:rPr>
          <w:rFonts w:ascii="Arial" w:eastAsia="Times New Roman" w:hAnsi="Arial" w:cs="Arial"/>
          <w:color w:val="444444"/>
          <w:lang w:val="kk-KZ" w:eastAsia="ru-RU"/>
        </w:rPr>
        <w:t>Жазықтықтың горизонталь өсің компаниялардың салыстырмалы нарықтық үлестері етіп, ал вертикаль өсті саланың өсу темпі етіп бекітейік:</w:t>
      </w:r>
    </w:p>
    <w:p w14:paraId="26AB887B" w14:textId="77777777" w:rsidR="00EC0334" w:rsidRPr="00EC0334" w:rsidRDefault="00EC0334" w:rsidP="00EC0334">
      <w:pPr>
        <w:spacing w:after="0" w:line="240" w:lineRule="auto"/>
        <w:rPr>
          <w:rFonts w:ascii="Times New Roman" w:hAnsi="Times New Roman" w:cs="Times New Roman"/>
          <w:b/>
          <w:bCs/>
          <w:sz w:val="24"/>
          <w:szCs w:val="24"/>
          <w:lang w:val="kk-KZ"/>
        </w:rPr>
      </w:pPr>
    </w:p>
    <w:p w14:paraId="1D9F8EF5" w14:textId="77777777" w:rsidR="00EC0334" w:rsidRDefault="00EC0334" w:rsidP="00EC0334">
      <w:pPr>
        <w:shd w:val="clear" w:color="auto" w:fill="FFFFFF"/>
        <w:spacing w:after="0" w:line="240" w:lineRule="auto"/>
        <w:rPr>
          <w:rFonts w:ascii="OpenSans" w:eastAsia="Times New Roman" w:hAnsi="OpenSans" w:cs="Times New Roman"/>
          <w:color w:val="000000"/>
          <w:lang w:val="kk-KZ" w:eastAsia="ru-RU"/>
        </w:rPr>
      </w:pPr>
      <w:r>
        <w:rPr>
          <w:rFonts w:ascii="OpenSans" w:eastAsia="Times New Roman" w:hAnsi="OpenSans" w:cs="Times New Roman"/>
          <w:color w:val="000000"/>
          <w:lang w:val="kk-KZ" w:eastAsia="ru-RU"/>
        </w:rPr>
        <w:t>Негізгі қағидалар </w:t>
      </w:r>
      <w:hyperlink r:id="rId5" w:history="1">
        <w:r>
          <w:rPr>
            <w:rStyle w:val="af5"/>
            <w:rFonts w:ascii="OpenSans" w:eastAsia="Times New Roman" w:hAnsi="OpenSans" w:cs="Times New Roman"/>
            <w:color w:val="0044CC"/>
            <w:lang w:val="kk-KZ" w:eastAsia="ru-RU"/>
          </w:rPr>
          <w:t>стратегиялық басқару</w:t>
        </w:r>
      </w:hyperlink>
      <w:r>
        <w:rPr>
          <w:rFonts w:ascii="OpenSans" w:eastAsia="Times New Roman" w:hAnsi="OpenSans" w:cs="Times New Roman"/>
          <w:color w:val="000000"/>
          <w:lang w:val="kk-KZ" w:eastAsia="ru-RU"/>
        </w:rPr>
        <w:t> мыналар:</w:t>
      </w:r>
    </w:p>
    <w:p w14:paraId="0D3C104B" w14:textId="77777777" w:rsid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Pr>
          <w:rFonts w:ascii="OpenSans" w:eastAsia="Times New Roman" w:hAnsi="OpenSans" w:cs="Times New Roman"/>
          <w:color w:val="000000"/>
          <w:lang w:val="kk-KZ" w:eastAsia="ru-RU"/>
        </w:rPr>
        <w:t>1. Негізгі мақсаттар мен міндеттерді белгілеуде, оларды жүзеге асырудың бағдарламасын құруда қолданылатын компания мен қоршаған ортаның бірлігі туралы жорамал.</w:t>
      </w:r>
    </w:p>
    <w:p w14:paraId="5449C511" w14:textId="77777777" w:rsid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Pr>
          <w:rFonts w:ascii="OpenSans" w:eastAsia="Times New Roman" w:hAnsi="OpenSans" w:cs="Times New Roman"/>
          <w:color w:val="000000"/>
          <w:lang w:val="kk-KZ" w:eastAsia="ru-RU"/>
        </w:rPr>
        <w:t>2. Болашақ жоспарын, компанияның миссиясын, оның сапалық жаһандық мақсаттарын іске асыруға, бәсекеге қабілеттілікке қол жеткізуге бағыттау.</w:t>
      </w:r>
    </w:p>
    <w:p w14:paraId="2D1A0361" w14:textId="77777777" w:rsid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Pr>
          <w:rFonts w:ascii="OpenSans" w:eastAsia="Times New Roman" w:hAnsi="OpenSans" w:cs="Times New Roman"/>
          <w:color w:val="000000"/>
          <w:lang w:val="kk-KZ" w:eastAsia="ru-RU"/>
        </w:rPr>
        <w:t>3. Стратегияларды құру және таңдау кезінде, ол жұмыс істейтін нарықтардың ерекшеліктерін, оның стратегиялық әлеуетін ескеру.</w:t>
      </w:r>
    </w:p>
    <w:p w14:paraId="5A0070C9"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Бүгінгі күні стратегиялық басқарудың екі тәсілі пайда болды.</w:t>
      </w:r>
    </w:p>
    <w:p w14:paraId="5DF3B2F9"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Дәстүрлі тәсіл фирмалар өздерінің мықты жақтарын қолданыстағы бәсекелестік ортадағы стратегиялық серпіліс, олардың алдында ашылатын мүмкіндіктер үшін пайдаланады деп болжайды.</w:t>
      </w:r>
    </w:p>
    <w:p w14:paraId="6925E022" w14:textId="77777777" w:rsidR="00EC0334" w:rsidRPr="00EC0334" w:rsidRDefault="00000000" w:rsidP="00EC0334">
      <w:pPr>
        <w:shd w:val="clear" w:color="auto" w:fill="FFFFFF"/>
        <w:spacing w:after="0" w:line="240" w:lineRule="auto"/>
        <w:rPr>
          <w:rFonts w:ascii="OpenSans" w:eastAsia="Times New Roman" w:hAnsi="OpenSans" w:cs="Times New Roman"/>
          <w:color w:val="000000"/>
          <w:lang w:val="kk-KZ" w:eastAsia="ru-RU"/>
        </w:rPr>
      </w:pPr>
      <w:hyperlink r:id="rId6" w:history="1">
        <w:r w:rsidR="00EC0334" w:rsidRPr="00EC0334">
          <w:rPr>
            <w:rStyle w:val="af5"/>
            <w:rFonts w:ascii="OpenSans" w:eastAsia="Times New Roman" w:hAnsi="OpenSans" w:cs="Times New Roman"/>
            <w:color w:val="0044CC"/>
            <w:lang w:val="kk-KZ" w:eastAsia="ru-RU"/>
          </w:rPr>
          <w:t>Заманауи тәсіл</w:t>
        </w:r>
      </w:hyperlink>
      <w:r w:rsidR="00EC0334" w:rsidRPr="00EC0334">
        <w:rPr>
          <w:rFonts w:ascii="OpenSans" w:eastAsia="Times New Roman" w:hAnsi="OpenSans" w:cs="Times New Roman"/>
          <w:color w:val="000000"/>
          <w:lang w:val="kk-KZ" w:eastAsia="ru-RU"/>
        </w:rPr>
        <w:t> компаниялар өздерінің ресурстарына манипуляция жасай отырып, өздері үшін осындай сыртқы ортаны қалыптастыратындығынан тұрады, оның қажеттіліктері олар өздері үшін үлкен пайда алып қанағаттандыра алады. Мысалы, монополиялар өз өнімдерінің жеткізілімін азайту және жасанды тапшылық тудыру арқылы бағаны көтеріп, артық пайда алу мүмкіндігіне ие.</w:t>
      </w:r>
    </w:p>
    <w:p w14:paraId="6D1464D8"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Басқаша айтқанда, екпін бірте-бірте болашаққа дайындықпен байланысты іс-әрекеттерден, оны мақсатты түрде қалыптастыру іс-әрекеттеріне ауысады. Сонымен қатар, компанияның, ақпараттық жүйелердің және үнемі қайта құрудың ең құнды ресурсы ретінде персоналға сенім артады.</w:t>
      </w:r>
    </w:p>
    <w:p w14:paraId="426DB345"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Стратегиялық менеджменттің объектісі келесі кезеңдерді қамтитын стратегиялық процесс болып табылады:</w:t>
      </w:r>
    </w:p>
    <w:p w14:paraId="05834133"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lastRenderedPageBreak/>
        <w:t>1) ол жұмыс істейтін фирманың ішкі және сыртқы ортасын зерттеу (стратегиялық талдау);</w:t>
      </w:r>
    </w:p>
    <w:p w14:paraId="176900EB"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2) миссияны анықтау, мақсат қою, стратегияларды құру және баламаларды қарастыру, сайып келгенде тиісті стратегиялық жоспарларды таңдау және құру (стратегиялық жоспарлау);</w:t>
      </w:r>
    </w:p>
    <w:p w14:paraId="32550479" w14:textId="77777777" w:rsidR="00EC0334" w:rsidRPr="00EC0334" w:rsidRDefault="00EC0334" w:rsidP="00EC0334">
      <w:pPr>
        <w:spacing w:after="0" w:line="240" w:lineRule="auto"/>
        <w:rPr>
          <w:rFonts w:ascii="Times New Roman" w:eastAsia="Times New Roman" w:hAnsi="Times New Roman" w:cs="Times New Roman"/>
          <w:sz w:val="24"/>
          <w:szCs w:val="24"/>
          <w:lang w:val="kk-KZ" w:eastAsia="ru-RU"/>
        </w:rPr>
      </w:pPr>
      <w:r w:rsidRPr="00EC0334">
        <w:rPr>
          <w:rFonts w:ascii="OpenSans" w:eastAsia="Times New Roman" w:hAnsi="OpenSans" w:cs="Times New Roman"/>
          <w:color w:val="000000"/>
          <w:sz w:val="24"/>
          <w:szCs w:val="24"/>
          <w:lang w:val="kk-KZ" w:eastAsia="ru-RU"/>
        </w:rPr>
        <w:br/>
      </w:r>
    </w:p>
    <w:p w14:paraId="02996C47" w14:textId="77777777" w:rsidR="00EC0334" w:rsidRPr="00EC0334" w:rsidRDefault="00EC0334" w:rsidP="00EC0334">
      <w:pPr>
        <w:shd w:val="clear" w:color="auto" w:fill="FFFFFF"/>
        <w:spacing w:after="300" w:line="240" w:lineRule="auto"/>
        <w:rPr>
          <w:rFonts w:ascii="OpenSans" w:eastAsia="Times New Roman" w:hAnsi="OpenSans" w:cs="Times New Roman"/>
          <w:color w:val="000000"/>
          <w:lang w:val="kk-KZ" w:eastAsia="ru-RU"/>
        </w:rPr>
      </w:pPr>
      <w:r w:rsidRPr="00EC0334">
        <w:rPr>
          <w:rFonts w:ascii="OpenSans" w:eastAsia="Times New Roman" w:hAnsi="OpenSans" w:cs="Times New Roman"/>
          <w:color w:val="000000"/>
          <w:lang w:val="kk-KZ" w:eastAsia="ru-RU"/>
        </w:rPr>
        <w:t>3) жаңа ұйымдастырушылық құрылымды және басқару жүйесін құру, алға қойылған мақсаттарға жету үшін практикалық іс-шаралар, оның ішінде күтпеген жағдайларда, компанияны жаңа мемлекетке айналдыру, оның нәтижелерін бағалау, одан әрі қадамдарды түзету (стратегиялар мен жоспарлардың орындалуын басқару, немесе тар мағынада стратегиялық басқару ).</w:t>
      </w:r>
    </w:p>
    <w:p w14:paraId="2936ECA4" w14:textId="77777777" w:rsidR="0054258B" w:rsidRPr="0054258B" w:rsidRDefault="0054258B" w:rsidP="0054258B">
      <w:pPr>
        <w:spacing w:line="259" w:lineRule="auto"/>
        <w:rPr>
          <w:rFonts w:ascii="Times New Roman" w:hAnsi="Times New Roman" w:cs="Times New Roman"/>
          <w:b/>
          <w:bCs/>
          <w:sz w:val="24"/>
          <w:szCs w:val="24"/>
          <w:lang w:val="kk-KZ"/>
        </w:rPr>
      </w:pPr>
      <w:r w:rsidRPr="0054258B">
        <w:rPr>
          <w:rFonts w:ascii="Times New Roman" w:hAnsi="Times New Roman" w:cs="Times New Roman"/>
          <w:b/>
          <w:bCs/>
          <w:sz w:val="24"/>
          <w:szCs w:val="24"/>
          <w:lang w:val="kk-KZ"/>
        </w:rPr>
        <w:t>Ұсынылатын әдебиеттер тізімі:</w:t>
      </w:r>
    </w:p>
    <w:p w14:paraId="3B2116D6" w14:textId="77777777" w:rsidR="0054258B" w:rsidRPr="0054258B" w:rsidRDefault="0054258B" w:rsidP="0054258B">
      <w:pPr>
        <w:numPr>
          <w:ilvl w:val="0"/>
          <w:numId w:val="5"/>
        </w:numPr>
        <w:spacing w:after="0" w:line="240" w:lineRule="auto"/>
        <w:ind w:left="0" w:firstLine="2"/>
        <w:contextualSpacing/>
        <w:rPr>
          <w:rFonts w:ascii="Times New Roman" w:hAnsi="Times New Roman" w:cs="Times New Roman"/>
          <w:color w:val="000000" w:themeColor="text1"/>
          <w:sz w:val="20"/>
          <w:szCs w:val="20"/>
          <w:lang w:val="kk-KZ"/>
        </w:rPr>
      </w:pPr>
      <w:r w:rsidRPr="0054258B">
        <w:rPr>
          <w:rFonts w:ascii="Times New Roman" w:hAnsi="Times New Roman" w:cs="Times New Roman"/>
          <w:color w:val="000000" w:themeColor="text1"/>
          <w:sz w:val="20"/>
          <w:szCs w:val="20"/>
          <w:lang w:val="kk-KZ"/>
        </w:rPr>
        <w:t>Қасым-Жомарт Тоқаев "Әділетті мемлекет. Біртүтас ұлт. Берекелі  қоғам."-Нұр-Сұлтан, 2022 ж., 1 қыркүйек</w:t>
      </w:r>
    </w:p>
    <w:p w14:paraId="7F75DF9D" w14:textId="77777777" w:rsidR="0054258B" w:rsidRPr="0054258B" w:rsidRDefault="0054258B" w:rsidP="0054258B">
      <w:pPr>
        <w:numPr>
          <w:ilvl w:val="0"/>
          <w:numId w:val="5"/>
        </w:numPr>
        <w:tabs>
          <w:tab w:val="left" w:pos="39"/>
        </w:tabs>
        <w:autoSpaceDE w:val="0"/>
        <w:autoSpaceDN w:val="0"/>
        <w:adjustRightInd w:val="0"/>
        <w:spacing w:after="0" w:line="240" w:lineRule="auto"/>
        <w:ind w:left="0" w:firstLine="2"/>
        <w:contextualSpacing/>
        <w:jc w:val="both"/>
        <w:rPr>
          <w:rFonts w:ascii="Times New Roman" w:hAnsi="Times New Roman" w:cs="Times New Roman"/>
          <w:b/>
          <w:bCs/>
          <w:color w:val="000000" w:themeColor="text1"/>
          <w:sz w:val="20"/>
          <w:szCs w:val="20"/>
          <w:lang w:val="kk-KZ"/>
        </w:rPr>
      </w:pPr>
      <w:r w:rsidRPr="0054258B">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68107C00"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3.</w:t>
      </w:r>
      <w:r w:rsidRPr="0054258B">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5B71F07A"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4.</w:t>
      </w:r>
      <w:r w:rsidRPr="0054258B">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D23686A"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12697A29"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73802D97" w14:textId="77777777" w:rsidR="0054258B" w:rsidRPr="0054258B" w:rsidRDefault="0054258B" w:rsidP="0054258B">
      <w:pPr>
        <w:spacing w:after="0" w:line="240" w:lineRule="auto"/>
        <w:rPr>
          <w:rFonts w:ascii="Times New Roman" w:hAnsi="Times New Roman" w:cs="Times New Roman"/>
          <w:sz w:val="20"/>
          <w:szCs w:val="20"/>
          <w:lang w:val="kk-KZ"/>
        </w:rPr>
      </w:pPr>
      <w:r w:rsidRPr="0054258B">
        <w:rPr>
          <w:rFonts w:ascii="Times New Roman" w:hAnsi="Times New Roman" w:cs="Times New Roman"/>
          <w:sz w:val="20"/>
          <w:szCs w:val="20"/>
          <w:lang w:val="kk-KZ"/>
        </w:rPr>
        <w:t>7. Казакова Н.А. Современный стратегический анализ -М.: Юрайт, 2021-469 с.</w:t>
      </w:r>
    </w:p>
    <w:p w14:paraId="1761EAA0" w14:textId="77777777" w:rsidR="0054258B" w:rsidRPr="0054258B" w:rsidRDefault="0054258B" w:rsidP="0054258B">
      <w:pPr>
        <w:shd w:val="clear" w:color="auto" w:fill="FFFFFF"/>
        <w:spacing w:after="0" w:line="240" w:lineRule="auto"/>
        <w:rPr>
          <w:rFonts w:ascii="Times New Roman" w:eastAsia="Times New Roman" w:hAnsi="Times New Roman" w:cs="Times New Roman"/>
          <w:color w:val="0E203B"/>
          <w:sz w:val="20"/>
          <w:szCs w:val="20"/>
          <w:lang w:val="kk-KZ" w:eastAsia="ru-RU"/>
        </w:rPr>
      </w:pPr>
      <w:r w:rsidRPr="0054258B">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2272BDD7" w14:textId="77777777" w:rsidR="0054258B" w:rsidRPr="0054258B" w:rsidRDefault="0054258B" w:rsidP="0054258B">
      <w:pPr>
        <w:shd w:val="clear" w:color="auto" w:fill="FFFFFF"/>
        <w:spacing w:after="0" w:line="240" w:lineRule="auto"/>
        <w:rPr>
          <w:rFonts w:ascii="Times New Roman" w:eastAsia="Times New Roman" w:hAnsi="Times New Roman" w:cs="Times New Roman"/>
          <w:color w:val="0E203B"/>
          <w:sz w:val="20"/>
          <w:szCs w:val="20"/>
          <w:lang w:val="kk-KZ" w:eastAsia="ru-RU"/>
        </w:rPr>
      </w:pPr>
      <w:r w:rsidRPr="0054258B">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26E9A00C"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6BADB603"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022C8023"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003C79B0"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2B15068B"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60A8D669" w14:textId="77777777" w:rsidR="0054258B" w:rsidRPr="0054258B" w:rsidRDefault="0054258B" w:rsidP="0054258B">
      <w:pPr>
        <w:spacing w:after="0" w:line="240" w:lineRule="auto"/>
        <w:rPr>
          <w:rFonts w:ascii="Times New Roman" w:eastAsia="Times New Roman" w:hAnsi="Times New Roman" w:cs="Times New Roman"/>
          <w:bCs/>
          <w:sz w:val="20"/>
          <w:szCs w:val="20"/>
          <w:lang w:val="kk-KZ"/>
        </w:rPr>
      </w:pPr>
      <w:r w:rsidRPr="0054258B">
        <w:rPr>
          <w:rFonts w:ascii="Times New Roman" w:eastAsia="Calibri" w:hAnsi="Times New Roman" w:cs="Times New Roman"/>
          <w:bCs/>
          <w:color w:val="000000" w:themeColor="text1"/>
          <w:sz w:val="20"/>
          <w:szCs w:val="20"/>
          <w:lang w:val="kk-KZ"/>
        </w:rPr>
        <w:t xml:space="preserve">15. </w:t>
      </w:r>
      <w:r w:rsidRPr="0054258B">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48365482"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6754DB50"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D6E6EF8"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0A3F0F1" w14:textId="77777777" w:rsidR="0054258B" w:rsidRPr="0054258B" w:rsidRDefault="0054258B" w:rsidP="0054258B">
      <w:pPr>
        <w:tabs>
          <w:tab w:val="left" w:pos="39"/>
        </w:tabs>
        <w:spacing w:after="0" w:line="240" w:lineRule="auto"/>
        <w:jc w:val="both"/>
        <w:rPr>
          <w:rFonts w:ascii="Times New Roman" w:eastAsia="Times New Roman" w:hAnsi="Times New Roman" w:cs="Times New Roman"/>
          <w:b/>
          <w:bCs/>
          <w:sz w:val="20"/>
          <w:szCs w:val="20"/>
          <w:lang w:val="kk-KZ"/>
        </w:rPr>
      </w:pPr>
      <w:r w:rsidRPr="0054258B">
        <w:rPr>
          <w:rFonts w:ascii="Times New Roman" w:eastAsia="Times New Roman" w:hAnsi="Times New Roman" w:cs="Times New Roman"/>
          <w:b/>
          <w:bCs/>
          <w:sz w:val="20"/>
          <w:szCs w:val="20"/>
          <w:lang w:val="kk-KZ"/>
        </w:rPr>
        <w:t>Қосымша әдебиеттер:</w:t>
      </w:r>
    </w:p>
    <w:p w14:paraId="3C5F2704" w14:textId="77777777" w:rsidR="0054258B" w:rsidRPr="0054258B" w:rsidRDefault="0054258B" w:rsidP="0054258B">
      <w:pPr>
        <w:numPr>
          <w:ilvl w:val="0"/>
          <w:numId w:val="4"/>
        </w:numPr>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54258B">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296899A6" w14:textId="77777777" w:rsidR="0054258B" w:rsidRPr="0054258B" w:rsidRDefault="0054258B" w:rsidP="0054258B">
      <w:pPr>
        <w:numPr>
          <w:ilvl w:val="0"/>
          <w:numId w:val="4"/>
        </w:numPr>
        <w:spacing w:after="0" w:line="240" w:lineRule="auto"/>
        <w:ind w:left="0" w:firstLine="360"/>
        <w:contextualSpacing/>
        <w:jc w:val="both"/>
        <w:rPr>
          <w:rFonts w:ascii="Times New Roman" w:eastAsia="Times New Roman" w:hAnsi="Times New Roman" w:cs="Times New Roman"/>
          <w:sz w:val="20"/>
          <w:szCs w:val="20"/>
          <w:lang w:val="kk-KZ" w:eastAsia="ru-RU"/>
        </w:rPr>
      </w:pPr>
      <w:r w:rsidRPr="0054258B">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2CDB3CF0" w14:textId="77777777" w:rsidR="0054258B" w:rsidRPr="0054258B" w:rsidRDefault="0054258B" w:rsidP="0054258B">
      <w:pPr>
        <w:numPr>
          <w:ilvl w:val="0"/>
          <w:numId w:val="4"/>
        </w:numPr>
        <w:tabs>
          <w:tab w:val="left" w:pos="1170"/>
        </w:tabs>
        <w:spacing w:after="0" w:line="240" w:lineRule="auto"/>
        <w:ind w:left="0" w:firstLine="360"/>
        <w:contextualSpacing/>
        <w:rPr>
          <w:rFonts w:ascii="Times New Roman" w:hAnsi="Times New Roman" w:cs="Times New Roman"/>
          <w:color w:val="212529"/>
          <w:sz w:val="20"/>
          <w:szCs w:val="20"/>
          <w:shd w:val="clear" w:color="auto" w:fill="F4F4F4"/>
          <w:lang w:val="kk-KZ" w:eastAsia="ru-RU"/>
        </w:rPr>
      </w:pPr>
      <w:r w:rsidRPr="0054258B">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71BD8F89" w14:textId="77777777" w:rsidR="0054258B" w:rsidRPr="0054258B" w:rsidRDefault="0054258B" w:rsidP="0054258B">
      <w:pPr>
        <w:numPr>
          <w:ilvl w:val="0"/>
          <w:numId w:val="4"/>
        </w:numPr>
        <w:tabs>
          <w:tab w:val="left" w:pos="39"/>
        </w:tabs>
        <w:spacing w:after="0" w:line="240" w:lineRule="auto"/>
        <w:ind w:left="0" w:firstLine="360"/>
        <w:contextualSpacing/>
        <w:jc w:val="both"/>
        <w:rPr>
          <w:rFonts w:ascii="Times New Roman" w:eastAsia="Calibri" w:hAnsi="Times New Roman" w:cs="Times New Roman"/>
          <w:color w:val="000000" w:themeColor="text1"/>
          <w:sz w:val="20"/>
          <w:szCs w:val="20"/>
          <w:lang w:val="kk-KZ" w:eastAsia="ru-RU"/>
        </w:rPr>
      </w:pPr>
      <w:r w:rsidRPr="0054258B">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54258B">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10387E7F" w14:textId="77777777" w:rsidR="0054258B" w:rsidRPr="0054258B" w:rsidRDefault="0054258B" w:rsidP="0054258B">
      <w:pPr>
        <w:numPr>
          <w:ilvl w:val="0"/>
          <w:numId w:val="4"/>
        </w:numPr>
        <w:tabs>
          <w:tab w:val="left" w:pos="39"/>
        </w:tabs>
        <w:spacing w:after="0" w:line="240" w:lineRule="auto"/>
        <w:ind w:left="0" w:firstLine="360"/>
        <w:contextualSpacing/>
        <w:jc w:val="both"/>
        <w:rPr>
          <w:rFonts w:ascii="Times New Roman" w:hAnsi="Times New Roman" w:cs="Times New Roman"/>
          <w:color w:val="212529"/>
          <w:sz w:val="20"/>
          <w:szCs w:val="20"/>
          <w:shd w:val="clear" w:color="auto" w:fill="F4F4F4"/>
          <w:lang w:val="kk-KZ" w:eastAsia="ru-RU"/>
        </w:rPr>
      </w:pPr>
      <w:r w:rsidRPr="0054258B">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62598E33" w14:textId="77777777" w:rsidR="0054258B" w:rsidRPr="0054258B" w:rsidRDefault="0054258B" w:rsidP="0054258B">
      <w:pPr>
        <w:numPr>
          <w:ilvl w:val="0"/>
          <w:numId w:val="4"/>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54258B">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0B11FFC" w14:textId="77777777" w:rsidR="0054258B" w:rsidRPr="0054258B" w:rsidRDefault="0054258B" w:rsidP="0054258B">
      <w:pPr>
        <w:numPr>
          <w:ilvl w:val="0"/>
          <w:numId w:val="4"/>
        </w:numPr>
        <w:tabs>
          <w:tab w:val="left" w:pos="39"/>
        </w:tabs>
        <w:spacing w:after="0" w:line="240" w:lineRule="auto"/>
        <w:ind w:left="0"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54258B">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54258B">
        <w:rPr>
          <w:rFonts w:ascii="Times New Roman" w:hAnsi="Times New Roman" w:cs="Times New Roman"/>
          <w:sz w:val="20"/>
          <w:szCs w:val="20"/>
        </w:rPr>
        <w:commentReference w:id="0"/>
      </w:r>
    </w:p>
    <w:p w14:paraId="4624B7C6" w14:textId="77777777" w:rsidR="0054258B" w:rsidRPr="0054258B" w:rsidRDefault="0054258B" w:rsidP="0054258B">
      <w:pPr>
        <w:numPr>
          <w:ilvl w:val="0"/>
          <w:numId w:val="4"/>
        </w:numPr>
        <w:tabs>
          <w:tab w:val="left" w:pos="1110"/>
        </w:tabs>
        <w:spacing w:after="0" w:line="240" w:lineRule="auto"/>
        <w:ind w:left="0" w:firstLine="360"/>
        <w:contextualSpacing/>
        <w:rPr>
          <w:rFonts w:ascii="Times New Roman" w:eastAsiaTheme="minorEastAsia" w:hAnsi="Times New Roman" w:cs="Times New Roman"/>
          <w:color w:val="212529"/>
          <w:sz w:val="20"/>
          <w:szCs w:val="20"/>
          <w:shd w:val="clear" w:color="auto" w:fill="F4F4F4"/>
          <w:lang w:val="kk-KZ" w:eastAsia="ru-RU"/>
        </w:rPr>
      </w:pPr>
      <w:r w:rsidRPr="0054258B">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09AB0DBC" w14:textId="77777777" w:rsidR="0054258B" w:rsidRPr="0054258B" w:rsidRDefault="0054258B" w:rsidP="0054258B">
      <w:pPr>
        <w:spacing w:after="0" w:line="240" w:lineRule="auto"/>
        <w:rPr>
          <w:rFonts w:ascii="Times New Roman" w:hAnsi="Times New Roman" w:cs="Times New Roman"/>
          <w:sz w:val="20"/>
          <w:szCs w:val="20"/>
          <w:lang w:val="kk-KZ"/>
        </w:rPr>
      </w:pPr>
      <w:r w:rsidRPr="0054258B">
        <w:rPr>
          <w:rFonts w:ascii="Times New Roman" w:hAnsi="Times New Roman" w:cs="Times New Roman"/>
          <w:color w:val="212529"/>
          <w:sz w:val="20"/>
          <w:szCs w:val="20"/>
          <w:shd w:val="clear" w:color="auto" w:fill="F4F4F4"/>
          <w:lang w:val="kk-KZ"/>
        </w:rPr>
        <w:lastRenderedPageBreak/>
        <w:t xml:space="preserve">        9. Шваб, Клаус.Төртінші индустриялық революция  = The Fourth Industrial Revolution : [монография] - Астана: "Ұлттық аударма бюросы" ҚҚ, 2018- 198 б. </w:t>
      </w:r>
    </w:p>
    <w:p w14:paraId="023AA0DE"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1E3A27A3"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380F5A88"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4010D45F" w14:textId="77777777" w:rsidR="0054258B" w:rsidRPr="0054258B" w:rsidRDefault="0054258B" w:rsidP="0054258B">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54258B">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0B0067E" w14:textId="77777777" w:rsidR="0054258B" w:rsidRPr="0054258B" w:rsidRDefault="0054258B" w:rsidP="0054258B">
      <w:pPr>
        <w:spacing w:after="0" w:line="240" w:lineRule="auto"/>
        <w:rPr>
          <w:rFonts w:ascii="Times New Roman" w:eastAsia="Times New Roman" w:hAnsi="Times New Roman" w:cs="Times New Roman"/>
          <w:bCs/>
          <w:sz w:val="20"/>
          <w:szCs w:val="20"/>
          <w:lang w:val="kk-KZ"/>
        </w:rPr>
      </w:pPr>
    </w:p>
    <w:p w14:paraId="5BF602A3" w14:textId="77777777" w:rsidR="0054258B" w:rsidRPr="0054258B" w:rsidRDefault="0054258B" w:rsidP="0054258B">
      <w:pPr>
        <w:spacing w:after="0" w:line="240" w:lineRule="auto"/>
        <w:rPr>
          <w:rFonts w:ascii="Times New Roman" w:eastAsia="Times New Roman" w:hAnsi="Times New Roman" w:cs="Times New Roman"/>
          <w:bCs/>
          <w:sz w:val="20"/>
          <w:szCs w:val="20"/>
          <w:lang w:val="kk-KZ"/>
        </w:rPr>
      </w:pPr>
    </w:p>
    <w:p w14:paraId="07D01284" w14:textId="77777777" w:rsidR="0054258B" w:rsidRPr="0054258B" w:rsidRDefault="0054258B" w:rsidP="0054258B">
      <w:pPr>
        <w:pBdr>
          <w:top w:val="nil"/>
          <w:left w:val="nil"/>
          <w:bottom w:val="nil"/>
          <w:right w:val="nil"/>
          <w:between w:val="nil"/>
        </w:pBdr>
        <w:spacing w:after="0" w:line="259" w:lineRule="auto"/>
        <w:ind w:firstLine="2"/>
        <w:rPr>
          <w:rFonts w:ascii="Times New Roman" w:eastAsia="Times New Roman" w:hAnsi="Times New Roman" w:cs="Times New Roman"/>
          <w:color w:val="000000" w:themeColor="text1"/>
          <w:kern w:val="36"/>
          <w:sz w:val="20"/>
          <w:szCs w:val="20"/>
          <w:lang w:val="kk-KZ"/>
        </w:rPr>
      </w:pPr>
      <w:r w:rsidRPr="0054258B">
        <w:rPr>
          <w:rFonts w:ascii="Times New Roman" w:eastAsia="Times New Roman" w:hAnsi="Times New Roman" w:cs="Times New Roman"/>
          <w:color w:val="000000" w:themeColor="text1"/>
          <w:kern w:val="36"/>
          <w:sz w:val="20"/>
          <w:szCs w:val="20"/>
          <w:lang w:val="kk-KZ"/>
        </w:rPr>
        <w:t>Ғаламтор ресурстары:</w:t>
      </w:r>
    </w:p>
    <w:p w14:paraId="546309A0" w14:textId="77777777" w:rsidR="0054258B" w:rsidRPr="0054258B" w:rsidRDefault="0054258B" w:rsidP="0054258B">
      <w:pPr>
        <w:spacing w:after="0" w:line="240" w:lineRule="auto"/>
        <w:ind w:firstLine="2"/>
        <w:rPr>
          <w:rFonts w:ascii="Times New Roman" w:eastAsia="Times New Roman" w:hAnsi="Times New Roman" w:cs="Times New Roman"/>
          <w:color w:val="000000" w:themeColor="text1"/>
          <w:kern w:val="36"/>
          <w:sz w:val="20"/>
          <w:szCs w:val="20"/>
          <w:lang w:val="kk-KZ"/>
        </w:rPr>
      </w:pPr>
      <w:r w:rsidRPr="0054258B">
        <w:rPr>
          <w:rFonts w:ascii="Times New Roman" w:eastAsia="Times New Roman" w:hAnsi="Times New Roman" w:cs="Times New Roman"/>
          <w:color w:val="000000" w:themeColor="text1"/>
          <w:kern w:val="36"/>
          <w:sz w:val="20"/>
          <w:szCs w:val="20"/>
          <w:lang w:val="kk-KZ"/>
        </w:rPr>
        <w:t>1.</w:t>
      </w:r>
      <w:r w:rsidRPr="0054258B">
        <w:t xml:space="preserve"> </w:t>
      </w:r>
      <w:r w:rsidRPr="0054258B">
        <w:rPr>
          <w:rFonts w:ascii="Times New Roman" w:eastAsia="Times New Roman" w:hAnsi="Times New Roman" w:cs="Times New Roman"/>
          <w:color w:val="000000" w:themeColor="text1"/>
          <w:kern w:val="36"/>
          <w:sz w:val="20"/>
          <w:szCs w:val="20"/>
          <w:lang w:val="kk-KZ"/>
        </w:rPr>
        <w:t>https://www.kaznu.kz </w:t>
      </w:r>
    </w:p>
    <w:p w14:paraId="76751763" w14:textId="77777777" w:rsidR="0054258B" w:rsidRPr="0054258B" w:rsidRDefault="0054258B" w:rsidP="0054258B">
      <w:pPr>
        <w:spacing w:after="0" w:line="240" w:lineRule="auto"/>
        <w:ind w:firstLine="2"/>
        <w:rPr>
          <w:rFonts w:ascii="Times New Roman" w:eastAsia="Times New Roman" w:hAnsi="Times New Roman" w:cs="Times New Roman"/>
          <w:color w:val="000000" w:themeColor="text1"/>
          <w:kern w:val="36"/>
          <w:sz w:val="20"/>
          <w:szCs w:val="20"/>
          <w:lang w:val="kk-KZ"/>
        </w:rPr>
      </w:pPr>
      <w:r w:rsidRPr="0054258B">
        <w:rPr>
          <w:rFonts w:ascii="Times New Roman" w:eastAsia="Times New Roman" w:hAnsi="Times New Roman" w:cs="Times New Roman"/>
          <w:color w:val="000000" w:themeColor="text1"/>
          <w:kern w:val="36"/>
          <w:sz w:val="20"/>
          <w:szCs w:val="20"/>
          <w:lang w:val="kk-KZ"/>
        </w:rPr>
        <w:t>2. https://adilet.zan.kz › kaz</w:t>
      </w:r>
    </w:p>
    <w:p w14:paraId="050F301F" w14:textId="77777777" w:rsidR="0054258B" w:rsidRPr="0054258B" w:rsidRDefault="0054258B" w:rsidP="0054258B">
      <w:pPr>
        <w:spacing w:after="0" w:line="240" w:lineRule="auto"/>
        <w:ind w:firstLine="2"/>
        <w:rPr>
          <w:rFonts w:ascii="Times New Roman" w:hAnsi="Times New Roman" w:cs="Times New Roman"/>
          <w:color w:val="000000" w:themeColor="text1"/>
          <w:sz w:val="20"/>
          <w:szCs w:val="20"/>
          <w:lang w:val="kk-KZ"/>
        </w:rPr>
      </w:pPr>
      <w:r w:rsidRPr="0054258B">
        <w:rPr>
          <w:rFonts w:ascii="Times New Roman" w:eastAsia="Times New Roman" w:hAnsi="Times New Roman" w:cs="Times New Roman"/>
          <w:color w:val="000000" w:themeColor="text1"/>
          <w:kern w:val="36"/>
          <w:sz w:val="20"/>
          <w:szCs w:val="20"/>
          <w:lang w:val="kk-KZ"/>
        </w:rPr>
        <w:t>3.</w:t>
      </w:r>
      <w:r w:rsidRPr="0054258B">
        <w:rPr>
          <w:lang w:val="en-US"/>
        </w:rPr>
        <w:t xml:space="preserve"> </w:t>
      </w:r>
      <w:r w:rsidRPr="0054258B">
        <w:rPr>
          <w:rFonts w:ascii="Times New Roman" w:eastAsia="Times New Roman" w:hAnsi="Times New Roman" w:cs="Times New Roman"/>
          <w:color w:val="000000" w:themeColor="text1"/>
          <w:kern w:val="36"/>
          <w:sz w:val="20"/>
          <w:szCs w:val="20"/>
          <w:lang w:val="kk-KZ"/>
        </w:rPr>
        <w:t>https://egemen.kz</w:t>
      </w:r>
    </w:p>
    <w:p w14:paraId="52DB9CDC" w14:textId="77777777" w:rsidR="00EC0334" w:rsidRPr="00EC0334" w:rsidRDefault="00EC0334" w:rsidP="00EC0334">
      <w:pPr>
        <w:spacing w:after="0" w:line="240" w:lineRule="auto"/>
        <w:rPr>
          <w:rFonts w:ascii="Times New Roman" w:hAnsi="Times New Roman" w:cs="Times New Roman"/>
          <w:b/>
          <w:bCs/>
          <w:sz w:val="24"/>
          <w:szCs w:val="24"/>
          <w:lang w:val="kk-KZ"/>
        </w:rPr>
      </w:pPr>
    </w:p>
    <w:sectPr w:rsidR="00EC0334" w:rsidRPr="00EC0334"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32B5D22E" w14:textId="77777777" w:rsidR="0054258B" w:rsidRDefault="0054258B" w:rsidP="0054258B">
      <w:pPr>
        <w:pStyle w:val="af6"/>
      </w:pPr>
      <w:r>
        <w:rPr>
          <w:rStyle w:val="af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5D22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5D22E"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929252C"/>
    <w:multiLevelType w:val="hybridMultilevel"/>
    <w:tmpl w:val="F8F4578E"/>
    <w:lvl w:ilvl="0" w:tplc="42F2A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66930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0123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753387">
    <w:abstractNumId w:val="4"/>
  </w:num>
  <w:num w:numId="4" w16cid:durableId="228271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7122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42"/>
    <w:rsid w:val="00010558"/>
    <w:rsid w:val="0054258B"/>
    <w:rsid w:val="00685642"/>
    <w:rsid w:val="006C0B77"/>
    <w:rsid w:val="006F1C33"/>
    <w:rsid w:val="008242FF"/>
    <w:rsid w:val="00870751"/>
    <w:rsid w:val="00922C48"/>
    <w:rsid w:val="00B915B7"/>
    <w:rsid w:val="00C22983"/>
    <w:rsid w:val="00EA59DF"/>
    <w:rsid w:val="00EC0334"/>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DD27"/>
  <w15:chartTrackingRefBased/>
  <w15:docId w15:val="{8DEA046B-3E97-4494-A736-EBD8C6AC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983"/>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EC0334"/>
    <w:rPr>
      <w:color w:val="0000FF"/>
      <w:u w:val="single"/>
    </w:rPr>
  </w:style>
  <w:style w:type="paragraph" w:styleId="af6">
    <w:name w:val="annotation text"/>
    <w:basedOn w:val="a"/>
    <w:link w:val="af7"/>
    <w:uiPriority w:val="99"/>
    <w:semiHidden/>
    <w:unhideWhenUsed/>
    <w:rsid w:val="00EC0334"/>
    <w:pPr>
      <w:spacing w:after="0" w:line="240" w:lineRule="auto"/>
    </w:pPr>
    <w:rPr>
      <w:sz w:val="20"/>
      <w:szCs w:val="20"/>
    </w:rPr>
  </w:style>
  <w:style w:type="character" w:customStyle="1" w:styleId="af7">
    <w:name w:val="Текст примечания Знак"/>
    <w:basedOn w:val="a0"/>
    <w:link w:val="af6"/>
    <w:uiPriority w:val="99"/>
    <w:semiHidden/>
    <w:rsid w:val="00EC0334"/>
    <w:rPr>
      <w:sz w:val="20"/>
      <w:szCs w:val="20"/>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EC0334"/>
  </w:style>
  <w:style w:type="character" w:styleId="af8">
    <w:name w:val="annotation reference"/>
    <w:basedOn w:val="a0"/>
    <w:uiPriority w:val="99"/>
    <w:semiHidden/>
    <w:unhideWhenUsed/>
    <w:rsid w:val="00EC03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36039">
      <w:bodyDiv w:val="1"/>
      <w:marLeft w:val="0"/>
      <w:marRight w:val="0"/>
      <w:marTop w:val="0"/>
      <w:marBottom w:val="0"/>
      <w:divBdr>
        <w:top w:val="none" w:sz="0" w:space="0" w:color="auto"/>
        <w:left w:val="none" w:sz="0" w:space="0" w:color="auto"/>
        <w:bottom w:val="none" w:sz="0" w:space="0" w:color="auto"/>
        <w:right w:val="none" w:sz="0" w:space="0" w:color="auto"/>
      </w:divBdr>
    </w:div>
    <w:div w:id="20557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eajob.ru/kk/socialnoe-neravenstvo-osnovnye-podhody-istoricheskie-i-sovremennye-formy/" TargetMode="External"/><Relationship Id="rId11" Type="http://schemas.openxmlformats.org/officeDocument/2006/relationships/fontTable" Target="fontTable.xml"/><Relationship Id="rId5" Type="http://schemas.openxmlformats.org/officeDocument/2006/relationships/hyperlink" Target="https://koreajob.ru/kk/ponyatie-i-sushchnost-strategicheskogo-i-innovacionnogo-planirovaniya-strategicheskoe-upravlenie-i-innova/"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6</cp:revision>
  <dcterms:created xsi:type="dcterms:W3CDTF">2021-09-23T05:50:00Z</dcterms:created>
  <dcterms:modified xsi:type="dcterms:W3CDTF">2022-09-18T09:59:00Z</dcterms:modified>
</cp:coreProperties>
</file>